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4B9" w:rsidRDefault="005B126B" w:rsidP="00D744B9">
      <w:pPr>
        <w:rPr>
          <w:sz w:val="40"/>
        </w:rPr>
      </w:pPr>
      <w:bookmarkStart w:id="0" w:name="_GoBack"/>
      <w:bookmarkEnd w:id="0"/>
      <w:r>
        <w:rPr>
          <w:noProof/>
          <w:sz w:val="40"/>
        </w:rPr>
        <w:drawing>
          <wp:inline distT="0" distB="0" distL="0" distR="0">
            <wp:extent cx="4457700" cy="571500"/>
            <wp:effectExtent l="0" t="0" r="0" b="0"/>
            <wp:docPr id="1" name="Picture 1" descr="idalogo3 468 by 60 96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alogo3 468 by 60 96DP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4B9" w:rsidRDefault="00D744B9" w:rsidP="00D307C6">
      <w:pPr>
        <w:pStyle w:val="Heading1"/>
      </w:pPr>
      <w:r>
        <w:t>MICR Font Calibration Tool</w:t>
      </w:r>
    </w:p>
    <w:p w:rsidR="009335F7" w:rsidRPr="00655608" w:rsidRDefault="00E909DE">
      <w:pPr>
        <w:rPr>
          <w:sz w:val="22"/>
          <w:szCs w:val="22"/>
        </w:rPr>
      </w:pPr>
      <w:r>
        <w:rPr>
          <w:sz w:val="22"/>
          <w:szCs w:val="22"/>
        </w:rPr>
        <w:t xml:space="preserve">Calibration </w:t>
      </w:r>
      <w:r w:rsidR="00D744B9" w:rsidRPr="00655608">
        <w:rPr>
          <w:sz w:val="22"/>
          <w:szCs w:val="22"/>
        </w:rPr>
        <w:t xml:space="preserve">is a </w:t>
      </w:r>
      <w:r w:rsidR="00654B8A">
        <w:rPr>
          <w:sz w:val="22"/>
          <w:szCs w:val="22"/>
        </w:rPr>
        <w:t>two</w:t>
      </w:r>
      <w:r w:rsidR="00D226CA">
        <w:rPr>
          <w:sz w:val="22"/>
          <w:szCs w:val="22"/>
        </w:rPr>
        <w:t>-</w:t>
      </w:r>
      <w:r w:rsidR="00D744B9" w:rsidRPr="00655608">
        <w:rPr>
          <w:sz w:val="22"/>
          <w:szCs w:val="22"/>
        </w:rPr>
        <w:t xml:space="preserve">step process that ensures the MICR is printed at the correct width and intensity. Print this document on the printer that is to be used to print checks. </w:t>
      </w:r>
      <w:r w:rsidR="006E5E3C">
        <w:rPr>
          <w:sz w:val="22"/>
          <w:szCs w:val="22"/>
        </w:rPr>
        <w:t>T</w:t>
      </w:r>
      <w:r w:rsidR="00D744B9" w:rsidRPr="00655608">
        <w:rPr>
          <w:sz w:val="22"/>
          <w:szCs w:val="22"/>
        </w:rPr>
        <w:t xml:space="preserve">he MICR toner and check stock used to print the checks </w:t>
      </w:r>
      <w:r w:rsidR="006E5E3C">
        <w:rPr>
          <w:sz w:val="22"/>
          <w:szCs w:val="22"/>
        </w:rPr>
        <w:t xml:space="preserve">should </w:t>
      </w:r>
      <w:r w:rsidR="00D744B9" w:rsidRPr="00655608">
        <w:rPr>
          <w:sz w:val="22"/>
          <w:szCs w:val="22"/>
        </w:rPr>
        <w:t>also be loaded in the printer</w:t>
      </w:r>
      <w:r w:rsidR="00C65315" w:rsidRPr="00655608">
        <w:rPr>
          <w:sz w:val="22"/>
          <w:szCs w:val="22"/>
        </w:rPr>
        <w:t xml:space="preserve"> for accurate results</w:t>
      </w:r>
      <w:r w:rsidR="00D744B9" w:rsidRPr="00655608">
        <w:rPr>
          <w:sz w:val="22"/>
          <w:szCs w:val="22"/>
        </w:rPr>
        <w:t>.</w:t>
      </w:r>
    </w:p>
    <w:p w:rsidR="00D744B9" w:rsidRDefault="00D744B9" w:rsidP="00D744B9">
      <w:pPr>
        <w:pStyle w:val="Heading2"/>
      </w:pPr>
      <w:r>
        <w:t>Step 1; verify the width:</w:t>
      </w:r>
    </w:p>
    <w:p w:rsidR="00D744B9" w:rsidRPr="00985BD8" w:rsidRDefault="00985BD8">
      <w:pPr>
        <w:rPr>
          <w:sz w:val="22"/>
          <w:szCs w:val="22"/>
        </w:rPr>
      </w:pPr>
      <w:r w:rsidRPr="00985BD8">
        <w:rPr>
          <w:sz w:val="22"/>
          <w:szCs w:val="22"/>
        </w:rPr>
        <w:t>Measure the distance between the middle of the “1” characters. The distance should be as close to 4 inches (10.16 CM) as possible. Using this calibration method, the allowable tolerance is +/- 1/8 of an inch (.32 CM); which is between 3 7/8" and 4 1/8" (9.84 CM and 10.48 CM).</w:t>
      </w:r>
    </w:p>
    <w:p w:rsidR="002C6013" w:rsidRPr="002C6013" w:rsidRDefault="002C6013" w:rsidP="002C6013">
      <w:pPr>
        <w:rPr>
          <w:i/>
          <w:sz w:val="20"/>
          <w:szCs w:val="20"/>
        </w:rPr>
      </w:pPr>
      <w:r w:rsidRPr="00D744B9">
        <w:t>IDAutomationMICR</w:t>
      </w:r>
      <w:r>
        <w:t xml:space="preserve"> N2 </w:t>
      </w:r>
      <w:r w:rsidRPr="002C6013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Narrow</w:t>
      </w:r>
      <w:r w:rsidRPr="002C6013">
        <w:rPr>
          <w:i/>
          <w:sz w:val="20"/>
          <w:szCs w:val="20"/>
        </w:rPr>
        <w:t xml:space="preserve"> by 2 pixels at 600dpi</w:t>
      </w:r>
      <w:r>
        <w:rPr>
          <w:i/>
          <w:sz w:val="20"/>
          <w:szCs w:val="20"/>
        </w:rPr>
        <w:t>; 1 pixel at 300 dpi</w:t>
      </w:r>
      <w:r w:rsidRPr="002C6013">
        <w:rPr>
          <w:i/>
          <w:sz w:val="20"/>
          <w:szCs w:val="20"/>
        </w:rPr>
        <w:t>)</w:t>
      </w:r>
    </w:p>
    <w:p w:rsidR="002C6013" w:rsidRPr="00725F38" w:rsidRDefault="002C6013" w:rsidP="002C6013">
      <w:pPr>
        <w:rPr>
          <w:rFonts w:ascii="IDAutomationMICR N2" w:hAnsi="IDAutomationMICR N2"/>
          <w:sz w:val="16"/>
          <w:szCs w:val="16"/>
        </w:rPr>
      </w:pPr>
      <w:r w:rsidRPr="00725F38">
        <w:rPr>
          <w:rFonts w:ascii="IDAutomationMICR N2" w:hAnsi="IDAutomationMICR N2"/>
        </w:rPr>
        <w:t>1</w:t>
      </w:r>
      <w:r w:rsidR="00EA7262">
        <w:rPr>
          <w:rFonts w:ascii="IDAutomationMICR N2" w:hAnsi="IDAutomationMICR N2"/>
        </w:rPr>
        <w:t>-</w:t>
      </w:r>
      <w:r w:rsidRPr="00725F38">
        <w:rPr>
          <w:rFonts w:ascii="IDAutomationMICR N2" w:hAnsi="IDAutomationMICR N2"/>
        </w:rPr>
        <w:t>0</w:t>
      </w:r>
      <w:r w:rsidR="00EA7262">
        <w:rPr>
          <w:rFonts w:ascii="IDAutomationMICR N2" w:hAnsi="IDAutomationMICR N2"/>
        </w:rPr>
        <w:t>0</w:t>
      </w:r>
      <w:r w:rsidRPr="00725F38">
        <w:rPr>
          <w:rFonts w:ascii="IDAutomationMICR N2" w:hAnsi="IDAutomationMICR N2"/>
        </w:rPr>
        <w:t>0222333444</w:t>
      </w:r>
      <w:r w:rsidR="00EA7262">
        <w:rPr>
          <w:rFonts w:ascii="IDAutomationMICR N2" w:hAnsi="IDAutomationMICR N2"/>
        </w:rPr>
        <w:t>--667</w:t>
      </w:r>
      <w:r w:rsidRPr="00725F38">
        <w:rPr>
          <w:rFonts w:ascii="IDAutomationMICR N2" w:hAnsi="IDAutomationMICR N2"/>
        </w:rPr>
        <w:t>777888999000</w:t>
      </w:r>
      <w:r w:rsidR="00EA7262">
        <w:rPr>
          <w:rFonts w:ascii="IDAutomationMICR N2" w:hAnsi="IDAutomationMICR N2"/>
        </w:rPr>
        <w:t>-</w:t>
      </w:r>
      <w:r w:rsidRPr="00725F38">
        <w:rPr>
          <w:rFonts w:ascii="IDAutomationMICR N2" w:hAnsi="IDAutomationMICR N2"/>
        </w:rPr>
        <w:t>1</w:t>
      </w:r>
      <w:r w:rsidR="00531EC6" w:rsidRPr="00725F38">
        <w:rPr>
          <w:rFonts w:ascii="IDAutomationMICR N2" w:hAnsi="IDAutomationMICR N2"/>
        </w:rPr>
        <w:br/>
      </w:r>
    </w:p>
    <w:p w:rsidR="002C6013" w:rsidRPr="002C6013" w:rsidRDefault="002C6013" w:rsidP="002C6013">
      <w:pPr>
        <w:rPr>
          <w:i/>
          <w:sz w:val="20"/>
          <w:szCs w:val="20"/>
        </w:rPr>
      </w:pPr>
      <w:r w:rsidRPr="00D744B9">
        <w:t>IDAutomationMICR</w:t>
      </w:r>
      <w:r>
        <w:t xml:space="preserve"> N1 </w:t>
      </w:r>
      <w:r w:rsidRPr="002C6013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Narrow</w:t>
      </w:r>
      <w:r w:rsidRPr="002C6013">
        <w:rPr>
          <w:i/>
          <w:sz w:val="20"/>
          <w:szCs w:val="20"/>
        </w:rPr>
        <w:t xml:space="preserve"> by 1 pixel at 600dpi)</w:t>
      </w:r>
    </w:p>
    <w:p w:rsidR="002C6013" w:rsidRPr="00725F38" w:rsidRDefault="002C6013" w:rsidP="002C6013">
      <w:pPr>
        <w:rPr>
          <w:rFonts w:ascii="IDAutomationMICR N1" w:hAnsi="IDAutomationMICR N1"/>
        </w:rPr>
      </w:pPr>
      <w:r w:rsidRPr="00725F38">
        <w:rPr>
          <w:rFonts w:ascii="IDAutomationMICR N1" w:hAnsi="IDAutomationMICR N1"/>
        </w:rPr>
        <w:t>1</w:t>
      </w:r>
      <w:r w:rsidR="00EA7262">
        <w:rPr>
          <w:rFonts w:ascii="IDAutomationMICR N1" w:hAnsi="IDAutomationMICR N1"/>
        </w:rPr>
        <w:t>-</w:t>
      </w:r>
      <w:r w:rsidRPr="00725F38">
        <w:rPr>
          <w:rFonts w:ascii="IDAutomationMICR N1" w:hAnsi="IDAutomationMICR N1"/>
        </w:rPr>
        <w:t>000222333444</w:t>
      </w:r>
      <w:r w:rsidR="00EA7262">
        <w:rPr>
          <w:rFonts w:ascii="IDAutomationMICR N1" w:hAnsi="IDAutomationMICR N1"/>
        </w:rPr>
        <w:t>—-667</w:t>
      </w:r>
      <w:r w:rsidRPr="00725F38">
        <w:rPr>
          <w:rFonts w:ascii="IDAutomationMICR N1" w:hAnsi="IDAutomationMICR N1"/>
        </w:rPr>
        <w:t>777888999000</w:t>
      </w:r>
      <w:r w:rsidR="00EA7262">
        <w:rPr>
          <w:rFonts w:ascii="IDAutomationMICR N1" w:hAnsi="IDAutomationMICR N1"/>
        </w:rPr>
        <w:t>-</w:t>
      </w:r>
      <w:r w:rsidRPr="00725F38">
        <w:rPr>
          <w:rFonts w:ascii="IDAutomationMICR N1" w:hAnsi="IDAutomationMICR N1"/>
        </w:rPr>
        <w:t>1</w:t>
      </w:r>
      <w:r w:rsidR="00531EC6" w:rsidRPr="00725F38">
        <w:rPr>
          <w:rFonts w:ascii="IDAutomationMICR N1" w:hAnsi="IDAutomationMICR N1"/>
        </w:rPr>
        <w:br/>
      </w:r>
    </w:p>
    <w:p w:rsidR="00D744B9" w:rsidRPr="00D744B9" w:rsidRDefault="00D744B9">
      <w:r w:rsidRPr="00D744B9">
        <w:t>IDAutomationMICR</w:t>
      </w:r>
      <w:r w:rsidR="002310A1">
        <w:t xml:space="preserve"> </w:t>
      </w:r>
      <w:r w:rsidR="00531EC6">
        <w:t xml:space="preserve"> </w:t>
      </w:r>
      <w:r w:rsidR="00531EC6" w:rsidRPr="002C6013">
        <w:rPr>
          <w:i/>
          <w:sz w:val="20"/>
          <w:szCs w:val="20"/>
        </w:rPr>
        <w:t>(</w:t>
      </w:r>
      <w:r w:rsidR="00531EC6">
        <w:rPr>
          <w:i/>
          <w:sz w:val="20"/>
          <w:szCs w:val="20"/>
        </w:rPr>
        <w:t>Normal width for printers in alignment</w:t>
      </w:r>
      <w:r w:rsidR="00531EC6" w:rsidRPr="002C6013">
        <w:rPr>
          <w:i/>
          <w:sz w:val="20"/>
          <w:szCs w:val="20"/>
        </w:rPr>
        <w:t>)</w:t>
      </w:r>
    </w:p>
    <w:p w:rsidR="002310A1" w:rsidRPr="0004050A" w:rsidRDefault="002310A1" w:rsidP="00D744B9">
      <w:pPr>
        <w:rPr>
          <w:rFonts w:ascii="IDAutomationMICR" w:hAnsi="IDAutomationMICR"/>
        </w:rPr>
      </w:pPr>
      <w:r w:rsidRPr="0004050A">
        <w:rPr>
          <w:rFonts w:ascii="IDAutomationMICR" w:hAnsi="IDAutomationMICR"/>
        </w:rPr>
        <w:t>1</w:t>
      </w:r>
      <w:r w:rsidR="00EA7262">
        <w:rPr>
          <w:rFonts w:ascii="IDAutomationMICR" w:hAnsi="IDAutomationMICR"/>
        </w:rPr>
        <w:t>-</w:t>
      </w:r>
      <w:r w:rsidRPr="0004050A">
        <w:rPr>
          <w:rFonts w:ascii="IDAutomationMICR" w:hAnsi="IDAutomationMICR"/>
        </w:rPr>
        <w:t>000222333444</w:t>
      </w:r>
      <w:r w:rsidR="00EA7262">
        <w:rPr>
          <w:rFonts w:ascii="IDAutomationMICR" w:hAnsi="IDAutomationMICR"/>
        </w:rPr>
        <w:t>—-667</w:t>
      </w:r>
      <w:r w:rsidRPr="0004050A">
        <w:rPr>
          <w:rFonts w:ascii="IDAutomationMICR" w:hAnsi="IDAutomationMICR"/>
        </w:rPr>
        <w:t>777888999000</w:t>
      </w:r>
      <w:r w:rsidR="00EA7262">
        <w:rPr>
          <w:rFonts w:ascii="IDAutomationMICR" w:hAnsi="IDAutomationMICR"/>
        </w:rPr>
        <w:t>-</w:t>
      </w:r>
      <w:r w:rsidRPr="0004050A">
        <w:rPr>
          <w:rFonts w:ascii="IDAutomationMICR" w:hAnsi="IDAutomationMICR"/>
        </w:rPr>
        <w:t>1</w:t>
      </w:r>
      <w:r w:rsidR="00531EC6" w:rsidRPr="0004050A">
        <w:rPr>
          <w:rFonts w:ascii="IDAutomationMICR" w:hAnsi="IDAutomationMICR"/>
        </w:rPr>
        <w:br/>
      </w:r>
    </w:p>
    <w:p w:rsidR="00D744B9" w:rsidRPr="002C6013" w:rsidRDefault="00D744B9" w:rsidP="00D744B9">
      <w:pPr>
        <w:rPr>
          <w:i/>
          <w:sz w:val="20"/>
          <w:szCs w:val="20"/>
        </w:rPr>
      </w:pPr>
      <w:r w:rsidRPr="00D744B9">
        <w:t>IDAutomationMICR</w:t>
      </w:r>
      <w:r w:rsidR="002C6013">
        <w:t xml:space="preserve"> </w:t>
      </w:r>
      <w:r w:rsidR="002310A1">
        <w:t>W</w:t>
      </w:r>
      <w:r w:rsidR="002C6013">
        <w:t xml:space="preserve">1 </w:t>
      </w:r>
      <w:r w:rsidR="002C6013" w:rsidRPr="002C6013">
        <w:rPr>
          <w:i/>
          <w:sz w:val="20"/>
          <w:szCs w:val="20"/>
        </w:rPr>
        <w:t>(Wide by 1 pixel at 600dpi)</w:t>
      </w:r>
      <w:r w:rsidR="00531EC6" w:rsidRPr="00531EC6">
        <w:rPr>
          <w:rFonts w:ascii="IDAutomationMICRN" w:hAnsi="IDAutomationMICRN"/>
        </w:rPr>
        <w:t xml:space="preserve"> </w:t>
      </w:r>
    </w:p>
    <w:p w:rsidR="002310A1" w:rsidRPr="00725F38" w:rsidRDefault="002310A1" w:rsidP="008F684C">
      <w:pPr>
        <w:rPr>
          <w:rFonts w:ascii="IDAutomationMICR W1" w:hAnsi="IDAutomationMICR W1"/>
        </w:rPr>
      </w:pPr>
      <w:r w:rsidRPr="00725F38">
        <w:rPr>
          <w:rFonts w:ascii="IDAutomationMICR W1" w:hAnsi="IDAutomationMICR W1"/>
        </w:rPr>
        <w:t>1</w:t>
      </w:r>
      <w:r w:rsidR="00EA7262">
        <w:rPr>
          <w:rFonts w:ascii="IDAutomationMICR W1" w:hAnsi="IDAutomationMICR W1"/>
        </w:rPr>
        <w:t>-</w:t>
      </w:r>
      <w:r w:rsidRPr="00725F38">
        <w:rPr>
          <w:rFonts w:ascii="IDAutomationMICR W1" w:hAnsi="IDAutomationMICR W1"/>
        </w:rPr>
        <w:t>000222333444</w:t>
      </w:r>
      <w:r w:rsidR="00EA7262">
        <w:rPr>
          <w:rFonts w:ascii="IDAutomationMICR W1" w:hAnsi="IDAutomationMICR W1"/>
        </w:rPr>
        <w:t>--667</w:t>
      </w:r>
      <w:r w:rsidRPr="00725F38">
        <w:rPr>
          <w:rFonts w:ascii="IDAutomationMICR W1" w:hAnsi="IDAutomationMICR W1"/>
        </w:rPr>
        <w:t>777888999000</w:t>
      </w:r>
      <w:r w:rsidR="00EA7262">
        <w:rPr>
          <w:rFonts w:ascii="IDAutomationMICR W1" w:hAnsi="IDAutomationMICR W1"/>
        </w:rPr>
        <w:t>-</w:t>
      </w:r>
      <w:r w:rsidRPr="00725F38">
        <w:rPr>
          <w:rFonts w:ascii="IDAutomationMICR W1" w:hAnsi="IDAutomationMICR W1"/>
        </w:rPr>
        <w:t>1</w:t>
      </w:r>
      <w:r w:rsidR="00531EC6" w:rsidRPr="00725F38">
        <w:rPr>
          <w:rFonts w:ascii="IDAutomationMICR W1" w:hAnsi="IDAutomationMICR W1"/>
        </w:rPr>
        <w:br/>
      </w:r>
    </w:p>
    <w:p w:rsidR="002C6013" w:rsidRPr="002C6013" w:rsidRDefault="002C6013" w:rsidP="002C6013">
      <w:pPr>
        <w:rPr>
          <w:i/>
          <w:sz w:val="20"/>
          <w:szCs w:val="20"/>
        </w:rPr>
      </w:pPr>
      <w:r w:rsidRPr="00D744B9">
        <w:t>IDAutomationMICR</w:t>
      </w:r>
      <w:r>
        <w:t xml:space="preserve"> W2 </w:t>
      </w:r>
      <w:r w:rsidRPr="002C6013">
        <w:rPr>
          <w:i/>
          <w:sz w:val="20"/>
          <w:szCs w:val="20"/>
        </w:rPr>
        <w:t>(Wide by 2 pixels at 600dpi</w:t>
      </w:r>
      <w:r>
        <w:rPr>
          <w:i/>
          <w:sz w:val="20"/>
          <w:szCs w:val="20"/>
        </w:rPr>
        <w:t>; 1 pixel at 300 dpi</w:t>
      </w:r>
      <w:r w:rsidRPr="002C6013">
        <w:rPr>
          <w:i/>
          <w:sz w:val="20"/>
          <w:szCs w:val="20"/>
        </w:rPr>
        <w:t>)</w:t>
      </w:r>
      <w:r w:rsidR="00531EC6" w:rsidRPr="00531EC6">
        <w:rPr>
          <w:rFonts w:ascii="IDAutomationMICRN" w:hAnsi="IDAutomationMICRN"/>
        </w:rPr>
        <w:t xml:space="preserve"> </w:t>
      </w:r>
    </w:p>
    <w:p w:rsidR="002310A1" w:rsidRPr="00725F38" w:rsidRDefault="002C6013" w:rsidP="008F684C">
      <w:pPr>
        <w:rPr>
          <w:rFonts w:ascii="IDAutomationMICR W2" w:hAnsi="IDAutomationMICR W2"/>
        </w:rPr>
      </w:pPr>
      <w:r w:rsidRPr="00725F38">
        <w:rPr>
          <w:rFonts w:ascii="IDAutomationMICR W2" w:hAnsi="IDAutomationMICR W2"/>
        </w:rPr>
        <w:t>1</w:t>
      </w:r>
      <w:r w:rsidR="00EA7262">
        <w:rPr>
          <w:rFonts w:ascii="IDAutomationMICR W2" w:hAnsi="IDAutomationMICR W2"/>
        </w:rPr>
        <w:t>=</w:t>
      </w:r>
      <w:r w:rsidRPr="00725F38">
        <w:rPr>
          <w:rFonts w:ascii="IDAutomationMICR W2" w:hAnsi="IDAutomationMICR W2"/>
        </w:rPr>
        <w:t>000222333444</w:t>
      </w:r>
      <w:r w:rsidR="00EA7262">
        <w:rPr>
          <w:rFonts w:ascii="IDAutomationMICR W2" w:hAnsi="IDAutomationMICR W2"/>
        </w:rPr>
        <w:t>--667</w:t>
      </w:r>
      <w:r w:rsidRPr="00725F38">
        <w:rPr>
          <w:rFonts w:ascii="IDAutomationMICR W2" w:hAnsi="IDAutomationMICR W2"/>
        </w:rPr>
        <w:t>777888999000</w:t>
      </w:r>
      <w:r w:rsidR="00EA7262">
        <w:rPr>
          <w:rFonts w:ascii="IDAutomationMICR W2" w:hAnsi="IDAutomationMICR W2"/>
        </w:rPr>
        <w:t>=</w:t>
      </w:r>
      <w:r w:rsidRPr="00725F38">
        <w:rPr>
          <w:rFonts w:ascii="IDAutomationMICR W2" w:hAnsi="IDAutomationMICR W2"/>
        </w:rPr>
        <w:t>1</w:t>
      </w:r>
    </w:p>
    <w:p w:rsidR="00C65315" w:rsidRDefault="00C65315" w:rsidP="00C65315">
      <w:pPr>
        <w:pStyle w:val="Heading2"/>
      </w:pPr>
      <w:r>
        <w:t xml:space="preserve">Step </w:t>
      </w:r>
      <w:r w:rsidR="00E43F5A">
        <w:t>2</w:t>
      </w:r>
      <w:r>
        <w:t>; verify the intensity:</w:t>
      </w:r>
    </w:p>
    <w:p w:rsidR="00C528EE" w:rsidRPr="00655608" w:rsidRDefault="002576A1" w:rsidP="00C65315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56144E">
        <w:rPr>
          <w:sz w:val="22"/>
          <w:szCs w:val="22"/>
        </w:rPr>
        <w:t>elect</w:t>
      </w:r>
      <w:r w:rsidR="0000683A" w:rsidRPr="00655608">
        <w:rPr>
          <w:sz w:val="22"/>
          <w:szCs w:val="22"/>
        </w:rPr>
        <w:t xml:space="preserve"> the</w:t>
      </w:r>
      <w:r w:rsidR="00AF184D" w:rsidRPr="00655608">
        <w:rPr>
          <w:sz w:val="22"/>
          <w:szCs w:val="22"/>
        </w:rPr>
        <w:t xml:space="preserve"> font </w:t>
      </w:r>
      <w:r>
        <w:rPr>
          <w:sz w:val="22"/>
          <w:szCs w:val="22"/>
        </w:rPr>
        <w:t xml:space="preserve">from the </w:t>
      </w:r>
      <w:r w:rsidR="008B20D3">
        <w:rPr>
          <w:sz w:val="22"/>
          <w:szCs w:val="22"/>
        </w:rPr>
        <w:t>intensity</w:t>
      </w:r>
      <w:r>
        <w:rPr>
          <w:sz w:val="22"/>
          <w:szCs w:val="22"/>
        </w:rPr>
        <w:t xml:space="preserve"> column</w:t>
      </w:r>
      <w:r w:rsidRPr="006556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that is </w:t>
      </w:r>
      <w:r w:rsidR="0000683A" w:rsidRPr="00655608">
        <w:rPr>
          <w:sz w:val="22"/>
          <w:szCs w:val="22"/>
        </w:rPr>
        <w:t xml:space="preserve">closest to </w:t>
      </w:r>
      <w:r w:rsidR="00AF184D" w:rsidRPr="00655608">
        <w:rPr>
          <w:sz w:val="22"/>
          <w:szCs w:val="22"/>
        </w:rPr>
        <w:t xml:space="preserve">the intensity of </w:t>
      </w:r>
      <w:r w:rsidR="0000683A" w:rsidRPr="00655608">
        <w:rPr>
          <w:sz w:val="22"/>
          <w:szCs w:val="22"/>
        </w:rPr>
        <w:t xml:space="preserve">a pre-printed bank check </w:t>
      </w:r>
      <w:r w:rsidR="00515AAD" w:rsidRPr="00655608">
        <w:rPr>
          <w:sz w:val="22"/>
          <w:szCs w:val="22"/>
        </w:rPr>
        <w:t>printed by a banking inst</w:t>
      </w:r>
      <w:r w:rsidR="00FC6F78" w:rsidRPr="00655608">
        <w:rPr>
          <w:sz w:val="22"/>
          <w:szCs w:val="22"/>
        </w:rPr>
        <w:t>i</w:t>
      </w:r>
      <w:r w:rsidR="00515AAD" w:rsidRPr="00655608">
        <w:rPr>
          <w:sz w:val="22"/>
          <w:szCs w:val="22"/>
        </w:rPr>
        <w:t>t</w:t>
      </w:r>
      <w:r w:rsidR="00FC6F78" w:rsidRPr="00655608">
        <w:rPr>
          <w:sz w:val="22"/>
          <w:szCs w:val="22"/>
        </w:rPr>
        <w:t>ut</w:t>
      </w:r>
      <w:r w:rsidR="00515AAD" w:rsidRPr="00655608">
        <w:rPr>
          <w:sz w:val="22"/>
          <w:szCs w:val="22"/>
        </w:rPr>
        <w:t>ion</w:t>
      </w:r>
      <w:r w:rsidR="0000683A" w:rsidRPr="00655608">
        <w:rPr>
          <w:sz w:val="22"/>
          <w:szCs w:val="22"/>
        </w:rPr>
        <w:t xml:space="preserve">. </w:t>
      </w:r>
      <w:r w:rsidR="00E43F5A" w:rsidRPr="00655608">
        <w:rPr>
          <w:sz w:val="22"/>
          <w:szCs w:val="22"/>
        </w:rPr>
        <w:t>Some banks also provide a printing and layout g</w:t>
      </w:r>
      <w:r w:rsidR="00F41C39" w:rsidRPr="00655608">
        <w:rPr>
          <w:sz w:val="22"/>
          <w:szCs w:val="22"/>
        </w:rPr>
        <w:t>a</w:t>
      </w:r>
      <w:r w:rsidR="00515AAD" w:rsidRPr="00655608">
        <w:rPr>
          <w:sz w:val="22"/>
          <w:szCs w:val="22"/>
        </w:rPr>
        <w:t>u</w:t>
      </w:r>
      <w:r w:rsidR="00E43F5A" w:rsidRPr="00655608">
        <w:rPr>
          <w:sz w:val="22"/>
          <w:szCs w:val="22"/>
        </w:rPr>
        <w:t>ge that should be used if it is available.</w:t>
      </w:r>
      <w:r w:rsidR="004A5E6D">
        <w:rPr>
          <w:sz w:val="22"/>
          <w:szCs w:val="22"/>
        </w:rPr>
        <w:t xml:space="preserve"> Use the font name that matches the appropriate row </w:t>
      </w:r>
      <w:r w:rsidR="003D160A">
        <w:rPr>
          <w:sz w:val="22"/>
          <w:szCs w:val="22"/>
        </w:rPr>
        <w:t xml:space="preserve">of intensity and </w:t>
      </w:r>
      <w:r w:rsidR="004A5E6D">
        <w:rPr>
          <w:sz w:val="22"/>
          <w:szCs w:val="22"/>
        </w:rPr>
        <w:t>column</w:t>
      </w:r>
      <w:r w:rsidR="003D160A">
        <w:rPr>
          <w:sz w:val="22"/>
          <w:szCs w:val="22"/>
        </w:rPr>
        <w:t xml:space="preserve"> of width</w:t>
      </w:r>
      <w:r w:rsidR="004A5E6D">
        <w:rPr>
          <w:sz w:val="22"/>
          <w:szCs w:val="22"/>
        </w:rPr>
        <w:t>.</w:t>
      </w:r>
    </w:p>
    <w:p w:rsidR="00C65315" w:rsidRPr="005560C1" w:rsidRDefault="00C65315" w:rsidP="00C65315">
      <w:pPr>
        <w:rPr>
          <w:sz w:val="16"/>
          <w:szCs w:val="16"/>
        </w:rPr>
      </w:pPr>
    </w:p>
    <w:tbl>
      <w:tblPr>
        <w:tblW w:w="10932" w:type="dxa"/>
        <w:tblBorders>
          <w:top w:val="outset" w:sz="6" w:space="0" w:color="003399"/>
          <w:left w:val="outset" w:sz="6" w:space="0" w:color="003399"/>
          <w:bottom w:val="outset" w:sz="6" w:space="0" w:color="003399"/>
          <w:right w:val="outset" w:sz="6" w:space="0" w:color="003399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725"/>
        <w:gridCol w:w="1800"/>
        <w:gridCol w:w="1800"/>
        <w:gridCol w:w="1887"/>
        <w:gridCol w:w="1800"/>
        <w:gridCol w:w="1920"/>
      </w:tblGrid>
      <w:tr w:rsidR="00D307C6">
        <w:tc>
          <w:tcPr>
            <w:tcW w:w="1725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CC0000"/>
            <w:vAlign w:val="center"/>
          </w:tcPr>
          <w:p w:rsidR="00D2646F" w:rsidRDefault="00D2646F" w:rsidP="00C528EE">
            <w:pPr>
              <w:jc w:val="center"/>
            </w:pPr>
            <w:r>
              <w:rPr>
                <w:b/>
                <w:bCs/>
                <w:color w:val="FFFFFF"/>
              </w:rPr>
              <w:t>In</w:t>
            </w:r>
            <w:r w:rsidR="00654B8A">
              <w:rPr>
                <w:b/>
                <w:bCs/>
                <w:color w:val="FFFFFF"/>
              </w:rPr>
              <w:t>t</w:t>
            </w:r>
            <w:r>
              <w:rPr>
                <w:b/>
                <w:bCs/>
                <w:color w:val="FFFFFF"/>
              </w:rPr>
              <w:t>ensity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CC0000"/>
            <w:vAlign w:val="center"/>
          </w:tcPr>
          <w:p w:rsidR="00D2646F" w:rsidRDefault="00D2646F" w:rsidP="00D307C6">
            <w:pPr>
              <w:jc w:val="center"/>
            </w:pPr>
            <w:r>
              <w:rPr>
                <w:b/>
                <w:bCs/>
                <w:color w:val="FFFFFF"/>
              </w:rPr>
              <w:t xml:space="preserve">Narrow </w:t>
            </w:r>
            <w:r w:rsidR="00D307C6">
              <w:rPr>
                <w:b/>
                <w:bCs/>
                <w:color w:val="FFFFFF"/>
              </w:rPr>
              <w:t>2</w:t>
            </w:r>
            <w:r>
              <w:rPr>
                <w:b/>
                <w:bCs/>
                <w:color w:val="FFFFFF"/>
              </w:rPr>
              <w:t xml:space="preserve"> 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CC0000"/>
            <w:vAlign w:val="center"/>
          </w:tcPr>
          <w:p w:rsidR="00D2646F" w:rsidRDefault="00D2646F" w:rsidP="00C528EE">
            <w:pPr>
              <w:jc w:val="center"/>
            </w:pPr>
            <w:r>
              <w:rPr>
                <w:b/>
                <w:bCs/>
                <w:color w:val="FFFFFF"/>
              </w:rPr>
              <w:t xml:space="preserve">Narrow 1 </w:t>
            </w:r>
          </w:p>
        </w:tc>
        <w:tc>
          <w:tcPr>
            <w:tcW w:w="1887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CC0000"/>
            <w:vAlign w:val="center"/>
          </w:tcPr>
          <w:p w:rsidR="00D2646F" w:rsidRDefault="00D2646F" w:rsidP="00C528EE">
            <w:pPr>
              <w:jc w:val="center"/>
            </w:pPr>
            <w:r>
              <w:rPr>
                <w:b/>
                <w:bCs/>
                <w:color w:val="FFFFFF"/>
              </w:rPr>
              <w:t>Standard Width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CC0000"/>
            <w:vAlign w:val="center"/>
          </w:tcPr>
          <w:p w:rsidR="00D2646F" w:rsidRDefault="00D2646F" w:rsidP="00D307C6">
            <w:pPr>
              <w:jc w:val="center"/>
            </w:pPr>
            <w:r>
              <w:rPr>
                <w:b/>
                <w:bCs/>
                <w:color w:val="FFFFFF"/>
              </w:rPr>
              <w:t xml:space="preserve">Wide 1 </w:t>
            </w:r>
          </w:p>
        </w:tc>
        <w:tc>
          <w:tcPr>
            <w:tcW w:w="192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CC0000"/>
            <w:vAlign w:val="center"/>
          </w:tcPr>
          <w:p w:rsidR="00D2646F" w:rsidRDefault="00D2646F" w:rsidP="00C528EE">
            <w:pPr>
              <w:jc w:val="center"/>
            </w:pPr>
            <w:r>
              <w:rPr>
                <w:b/>
                <w:bCs/>
                <w:color w:val="FFFFFF"/>
              </w:rPr>
              <w:t xml:space="preserve">Wide </w:t>
            </w:r>
            <w:r w:rsidR="00D307C6">
              <w:rPr>
                <w:b/>
                <w:bCs/>
                <w:color w:val="FFFFFF"/>
              </w:rPr>
              <w:t>2</w:t>
            </w:r>
            <w:r>
              <w:rPr>
                <w:b/>
                <w:bCs/>
                <w:color w:val="FFFFFF"/>
              </w:rPr>
              <w:t xml:space="preserve"> </w:t>
            </w:r>
          </w:p>
        </w:tc>
      </w:tr>
      <w:tr w:rsidR="00D307C6">
        <w:tc>
          <w:tcPr>
            <w:tcW w:w="1725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Default="00D2646F" w:rsidP="00BD0720">
            <w:pPr>
              <w:jc w:val="center"/>
            </w:pPr>
            <w:r w:rsidRPr="008C69FE">
              <w:rPr>
                <w:sz w:val="18"/>
                <w:szCs w:val="18"/>
              </w:rPr>
              <w:t>Extra Light</w:t>
            </w:r>
            <w:r w:rsidR="000C7879">
              <w:br/>
            </w:r>
            <w:r w:rsidR="000C7879">
              <w:rPr>
                <w:rFonts w:ascii="IDAutomationMICR XL" w:hAnsi="IDAutomationMICR XL"/>
              </w:rPr>
              <w:t>02346780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D307C6">
            <w:pPr>
              <w:jc w:val="center"/>
              <w:rPr>
                <w:rFonts w:ascii="IDAutomationMICR N2XL" w:hAnsi="IDAutomationMICR N2XL"/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XL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BD0720">
            <w:pPr>
              <w:jc w:val="center"/>
              <w:rPr>
                <w:rFonts w:ascii="IDAutomationMICR N1XL" w:hAnsi="IDAutomationMICR N1XL"/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N1XL</w:t>
            </w:r>
          </w:p>
        </w:tc>
        <w:tc>
          <w:tcPr>
            <w:tcW w:w="1887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BD0720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XL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W1XL</w:t>
            </w:r>
          </w:p>
        </w:tc>
        <w:tc>
          <w:tcPr>
            <w:tcW w:w="192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BD0720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XL</w:t>
            </w:r>
          </w:p>
        </w:tc>
      </w:tr>
      <w:tr w:rsidR="00D307C6">
        <w:trPr>
          <w:trHeight w:val="360"/>
        </w:trPr>
        <w:tc>
          <w:tcPr>
            <w:tcW w:w="1725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Default="00D2646F" w:rsidP="00C528EE">
            <w:pPr>
              <w:jc w:val="center"/>
            </w:pPr>
            <w:r w:rsidRPr="008C69FE">
              <w:rPr>
                <w:sz w:val="18"/>
                <w:szCs w:val="18"/>
              </w:rPr>
              <w:t>Light</w:t>
            </w:r>
            <w:r w:rsidR="000C7879">
              <w:br/>
            </w:r>
            <w:r w:rsidR="000C7879">
              <w:rPr>
                <w:rFonts w:ascii="IDAutomationMICR L" w:hAnsi="IDAutomationMICR L"/>
              </w:rPr>
              <w:t>02346780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L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C528EE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N1L</w:t>
            </w:r>
          </w:p>
        </w:tc>
        <w:tc>
          <w:tcPr>
            <w:tcW w:w="1887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C3205B" w:rsidP="00C52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IDAutomationMICR</w:t>
            </w:r>
            <w:r>
              <w:rPr>
                <w:sz w:val="18"/>
                <w:szCs w:val="18"/>
              </w:rPr>
              <w:br/>
            </w:r>
            <w:r w:rsidR="00D2646F" w:rsidRPr="000C7879">
              <w:rPr>
                <w:sz w:val="18"/>
                <w:szCs w:val="18"/>
              </w:rPr>
              <w:t>L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W1L</w:t>
            </w:r>
          </w:p>
        </w:tc>
        <w:tc>
          <w:tcPr>
            <w:tcW w:w="192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C528EE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L</w:t>
            </w:r>
          </w:p>
        </w:tc>
      </w:tr>
      <w:tr w:rsidR="00D307C6">
        <w:tc>
          <w:tcPr>
            <w:tcW w:w="1725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Default="00D2646F" w:rsidP="00BD0720">
            <w:pPr>
              <w:jc w:val="center"/>
            </w:pPr>
            <w:r w:rsidRPr="008C69FE">
              <w:rPr>
                <w:sz w:val="18"/>
                <w:szCs w:val="18"/>
              </w:rPr>
              <w:t>Normal</w:t>
            </w:r>
            <w:r w:rsidR="000C7879">
              <w:br/>
            </w:r>
            <w:r w:rsidR="000C7879">
              <w:rPr>
                <w:rFonts w:ascii="IDAutomationMICR" w:hAnsi="IDAutomationMICR"/>
              </w:rPr>
              <w:t>02346780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D307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</w:t>
            </w:r>
            <w:r w:rsidR="00FD7B29" w:rsidRPr="000C7879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BD07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N1</w:t>
            </w:r>
          </w:p>
        </w:tc>
        <w:tc>
          <w:tcPr>
            <w:tcW w:w="1887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BD0720">
            <w:pPr>
              <w:jc w:val="center"/>
              <w:rPr>
                <w:sz w:val="18"/>
                <w:szCs w:val="18"/>
              </w:rPr>
            </w:pPr>
            <w:r w:rsidRPr="000C7879">
              <w:rPr>
                <w:b/>
                <w:bCs/>
                <w:sz w:val="18"/>
                <w:szCs w:val="18"/>
              </w:rPr>
              <w:t>IDAutomationMICR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W1</w:t>
            </w:r>
          </w:p>
        </w:tc>
        <w:tc>
          <w:tcPr>
            <w:tcW w:w="192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BD0720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</w:t>
            </w:r>
            <w:r w:rsidR="00FD7B29" w:rsidRPr="000C7879">
              <w:rPr>
                <w:sz w:val="18"/>
                <w:szCs w:val="18"/>
              </w:rPr>
              <w:t>2</w:t>
            </w:r>
          </w:p>
        </w:tc>
      </w:tr>
      <w:tr w:rsidR="00D307C6">
        <w:tc>
          <w:tcPr>
            <w:tcW w:w="1725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Default="00D2646F" w:rsidP="00BD0720">
            <w:pPr>
              <w:jc w:val="center"/>
            </w:pPr>
            <w:r w:rsidRPr="008C69FE">
              <w:rPr>
                <w:sz w:val="18"/>
                <w:szCs w:val="18"/>
              </w:rPr>
              <w:t>Bold</w:t>
            </w:r>
            <w:r w:rsidR="000C7879">
              <w:br/>
            </w:r>
            <w:r w:rsidR="000C7879">
              <w:rPr>
                <w:rFonts w:ascii="IDAutomationMICR" w:hAnsi="IDAutomationMICR"/>
              </w:rPr>
              <w:t>02346780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B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BD0720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N1B</w:t>
            </w:r>
          </w:p>
        </w:tc>
        <w:tc>
          <w:tcPr>
            <w:tcW w:w="1887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C3205B" w:rsidP="00BD07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IDAutomationMICR</w:t>
            </w:r>
            <w:r>
              <w:rPr>
                <w:sz w:val="18"/>
                <w:szCs w:val="18"/>
              </w:rPr>
              <w:br/>
            </w:r>
            <w:r w:rsidR="00D2646F" w:rsidRPr="000C7879">
              <w:rPr>
                <w:sz w:val="18"/>
                <w:szCs w:val="18"/>
              </w:rPr>
              <w:t>B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W1B</w:t>
            </w:r>
          </w:p>
        </w:tc>
        <w:tc>
          <w:tcPr>
            <w:tcW w:w="192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shd w:val="clear" w:color="auto" w:fill="auto"/>
            <w:vAlign w:val="center"/>
          </w:tcPr>
          <w:p w:rsidR="00D2646F" w:rsidRPr="000C7879" w:rsidRDefault="00D2646F" w:rsidP="00BD0720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B</w:t>
            </w:r>
          </w:p>
        </w:tc>
      </w:tr>
      <w:tr w:rsidR="00D307C6">
        <w:tc>
          <w:tcPr>
            <w:tcW w:w="1725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Default="00D2646F" w:rsidP="00C528EE">
            <w:pPr>
              <w:jc w:val="center"/>
            </w:pPr>
            <w:r w:rsidRPr="008C69FE">
              <w:rPr>
                <w:sz w:val="18"/>
                <w:szCs w:val="18"/>
              </w:rPr>
              <w:t>Extra Bold</w:t>
            </w:r>
            <w:r w:rsidR="000C7879">
              <w:br/>
            </w:r>
            <w:r w:rsidR="000C7879">
              <w:rPr>
                <w:rFonts w:ascii="IDAutomationMICR XB" w:hAnsi="IDAutomationMICR XB"/>
              </w:rPr>
              <w:t>02346780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XB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C528EE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426DAD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N1XB</w:t>
            </w:r>
          </w:p>
        </w:tc>
        <w:tc>
          <w:tcPr>
            <w:tcW w:w="1887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C528EE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XB</w:t>
            </w:r>
          </w:p>
        </w:tc>
        <w:tc>
          <w:tcPr>
            <w:tcW w:w="180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D307C6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W1XB</w:t>
            </w:r>
          </w:p>
        </w:tc>
        <w:tc>
          <w:tcPr>
            <w:tcW w:w="1920" w:type="dxa"/>
            <w:tcBorders>
              <w:top w:val="outset" w:sz="6" w:space="0" w:color="003399"/>
              <w:left w:val="outset" w:sz="6" w:space="0" w:color="003399"/>
              <w:bottom w:val="outset" w:sz="6" w:space="0" w:color="003399"/>
              <w:right w:val="outset" w:sz="6" w:space="0" w:color="003399"/>
            </w:tcBorders>
            <w:vAlign w:val="center"/>
          </w:tcPr>
          <w:p w:rsidR="00D2646F" w:rsidRPr="000C7879" w:rsidRDefault="00D2646F" w:rsidP="00C528EE">
            <w:pPr>
              <w:jc w:val="center"/>
              <w:rPr>
                <w:sz w:val="18"/>
                <w:szCs w:val="18"/>
              </w:rPr>
            </w:pPr>
            <w:r w:rsidRPr="000C7879">
              <w:rPr>
                <w:sz w:val="18"/>
                <w:szCs w:val="18"/>
              </w:rPr>
              <w:t>IDAutomationMICR</w:t>
            </w:r>
            <w:r w:rsidR="00C3205B">
              <w:rPr>
                <w:sz w:val="18"/>
                <w:szCs w:val="18"/>
              </w:rPr>
              <w:br/>
            </w:r>
            <w:r w:rsidRPr="000C7879">
              <w:rPr>
                <w:sz w:val="18"/>
                <w:szCs w:val="18"/>
              </w:rPr>
              <w:t>W</w:t>
            </w:r>
            <w:r w:rsidR="00FD7B29" w:rsidRPr="000C7879">
              <w:rPr>
                <w:sz w:val="18"/>
                <w:szCs w:val="18"/>
              </w:rPr>
              <w:t>2</w:t>
            </w:r>
            <w:r w:rsidRPr="000C7879">
              <w:rPr>
                <w:sz w:val="18"/>
                <w:szCs w:val="18"/>
              </w:rPr>
              <w:t>XB</w:t>
            </w:r>
          </w:p>
        </w:tc>
      </w:tr>
    </w:tbl>
    <w:p w:rsidR="008F684C" w:rsidRDefault="008F684C" w:rsidP="00717E06">
      <w:pPr>
        <w:rPr>
          <w:i/>
          <w:sz w:val="20"/>
          <w:szCs w:val="20"/>
        </w:rPr>
      </w:pPr>
    </w:p>
    <w:tbl>
      <w:tblPr>
        <w:tblW w:w="5223" w:type="pct"/>
        <w:tblCellSpacing w:w="0" w:type="dxa"/>
        <w:tblInd w:w="-90" w:type="dxa"/>
        <w:shd w:val="clear" w:color="auto" w:fill="CC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1"/>
      </w:tblGrid>
      <w:tr w:rsidR="00717E06" w:rsidRPr="001C3AB9" w:rsidTr="00717E06">
        <w:trPr>
          <w:tblCellSpacing w:w="0" w:type="dxa"/>
        </w:trPr>
        <w:tc>
          <w:tcPr>
            <w:tcW w:w="5000" w:type="pct"/>
            <w:shd w:val="clear" w:color="auto" w:fill="CC0000"/>
            <w:vAlign w:val="center"/>
            <w:hideMark/>
          </w:tcPr>
          <w:p w:rsidR="00717E06" w:rsidRPr="001C3AB9" w:rsidRDefault="00717E06" w:rsidP="00717E06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17E06" w:rsidRPr="00D80352" w:rsidTr="00717E06">
        <w:trPr>
          <w:tblCellSpacing w:w="0" w:type="dxa"/>
        </w:trPr>
        <w:tc>
          <w:tcPr>
            <w:tcW w:w="5000" w:type="pct"/>
            <w:shd w:val="clear" w:color="auto" w:fill="D9D9D9"/>
            <w:vAlign w:val="center"/>
          </w:tcPr>
          <w:p w:rsidR="00717E06" w:rsidRPr="00717E06" w:rsidRDefault="00717E06" w:rsidP="00717E06">
            <w:pPr>
              <w:spacing w:before="100" w:beforeAutospacing="1" w:after="100" w:afterAutospacing="1"/>
              <w:rPr>
                <w:rFonts w:ascii="Arial" w:hAnsi="Arial" w:cs="Arial"/>
                <w:bCs/>
                <w:i/>
                <w:iCs/>
                <w:color w:val="FFFFFF"/>
                <w:sz w:val="20"/>
                <w:szCs w:val="20"/>
              </w:rPr>
            </w:pPr>
            <w:r w:rsidRPr="00210F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© Copyright 2015 IDAutomation.com, Inc., All Rights Reserved. </w:t>
            </w:r>
            <w:hyperlink r:id="rId6" w:history="1">
              <w:r w:rsidRPr="00210FC0">
                <w:rPr>
                  <w:rStyle w:val="Hyperlink"/>
                  <w:rFonts w:ascii="Arial" w:hAnsi="Arial" w:cs="Arial"/>
                  <w:bCs/>
                  <w:i/>
                  <w:iCs/>
                  <w:color w:val="auto"/>
                  <w:sz w:val="20"/>
                  <w:szCs w:val="20"/>
                </w:rPr>
                <w:t>Legal Notices</w:t>
              </w:r>
            </w:hyperlink>
            <w:r w:rsidRPr="00210FC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717E06" w:rsidRPr="0000683A" w:rsidRDefault="00717E06" w:rsidP="00717E06">
      <w:pPr>
        <w:rPr>
          <w:i/>
          <w:sz w:val="20"/>
          <w:szCs w:val="20"/>
        </w:rPr>
      </w:pPr>
    </w:p>
    <w:sectPr w:rsidR="00717E06" w:rsidRPr="0000683A" w:rsidSect="00D307C6">
      <w:pgSz w:w="12240" w:h="15840" w:code="48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DAutomationMICR N2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1" w:subsetted="1" w:fontKey="{F37E6383-E2E4-454E-B576-68167571961D}"/>
  </w:font>
  <w:font w:name="IDAutomationMICR N1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2" w:subsetted="1" w:fontKey="{FB808FDA-6682-4638-B00A-557EC3EB1DB5}"/>
  </w:font>
  <w:font w:name="IDAutomationMICR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3" w:subsetted="1" w:fontKey="{265BBF56-3CB2-4A94-9A22-C857BBF41E2C}"/>
  </w:font>
  <w:font w:name="IDAutomationMICRN">
    <w:altName w:val="IDAutomationSMICR Demo"/>
    <w:charset w:val="00"/>
    <w:family w:val="modern"/>
    <w:pitch w:val="fixed"/>
    <w:sig w:usb0="00000003" w:usb1="00000000" w:usb2="00000000" w:usb3="00000000" w:csb0="00000001" w:csb1="00000000"/>
  </w:font>
  <w:font w:name="IDAutomationMICR W1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4" w:subsetted="1" w:fontKey="{84A16212-88AD-492B-B547-6A1D7E78B8E9}"/>
  </w:font>
  <w:font w:name="IDAutomationMICR W2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5" w:subsetted="1" w:fontKey="{3ADB9AEA-426E-4408-A0A2-7CF3F716DC78}"/>
  </w:font>
  <w:font w:name="IDAutomationMICR XL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6" w:subsetted="1" w:fontKey="{96DD31C7-940E-4C93-90A8-8C9CD744A5EA}"/>
  </w:font>
  <w:font w:name="IDAutomationMICR N2XL">
    <w:altName w:val="IDAutomationSMICR Demo"/>
    <w:panose1 w:val="02000509000000020004"/>
    <w:charset w:val="00"/>
    <w:family w:val="modern"/>
    <w:pitch w:val="fixed"/>
    <w:sig w:usb0="00000003" w:usb1="00000000" w:usb2="00000000" w:usb3="00000000" w:csb0="00000001" w:csb1="00000000"/>
  </w:font>
  <w:font w:name="IDAutomationMICR N1XL">
    <w:altName w:val="IDAutomationSMICR Demo"/>
    <w:panose1 w:val="02000509000000020004"/>
    <w:charset w:val="00"/>
    <w:family w:val="modern"/>
    <w:pitch w:val="fixed"/>
    <w:sig w:usb0="00000003" w:usb1="00000000" w:usb2="00000000" w:usb3="00000000" w:csb0="00000001" w:csb1="00000000"/>
  </w:font>
  <w:font w:name="IDAutomationMICR L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7" w:subsetted="1" w:fontKey="{45382E54-054C-4D9E-AD60-D837194EA9CC}"/>
  </w:font>
  <w:font w:name="IDAutomationMICR XB">
    <w:panose1 w:val="02000509000000020004"/>
    <w:charset w:val="00"/>
    <w:family w:val="modern"/>
    <w:pitch w:val="fixed"/>
    <w:sig w:usb0="80000003" w:usb1="00000000" w:usb2="00000000" w:usb3="00000000" w:csb0="00000001" w:csb1="00000000"/>
    <w:embedRegular r:id="rId8" w:subsetted="1" w:fontKey="{EFE70924-52C0-4B0F-ACE9-ECF955CAF38D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4C"/>
    <w:rsid w:val="0000683A"/>
    <w:rsid w:val="000131A5"/>
    <w:rsid w:val="000166E3"/>
    <w:rsid w:val="00032793"/>
    <w:rsid w:val="000371D6"/>
    <w:rsid w:val="0004050A"/>
    <w:rsid w:val="00042C31"/>
    <w:rsid w:val="00043B42"/>
    <w:rsid w:val="00044EAA"/>
    <w:rsid w:val="00047829"/>
    <w:rsid w:val="00047D67"/>
    <w:rsid w:val="000551B9"/>
    <w:rsid w:val="00064B3B"/>
    <w:rsid w:val="00065388"/>
    <w:rsid w:val="00073353"/>
    <w:rsid w:val="00075429"/>
    <w:rsid w:val="00091C40"/>
    <w:rsid w:val="0009223D"/>
    <w:rsid w:val="000C1CC4"/>
    <w:rsid w:val="000C6D85"/>
    <w:rsid w:val="000C7879"/>
    <w:rsid w:val="000D49C2"/>
    <w:rsid w:val="000E3AE8"/>
    <w:rsid w:val="000E770F"/>
    <w:rsid w:val="0012153A"/>
    <w:rsid w:val="001246DF"/>
    <w:rsid w:val="0013025F"/>
    <w:rsid w:val="00131999"/>
    <w:rsid w:val="00137815"/>
    <w:rsid w:val="00152108"/>
    <w:rsid w:val="00162D6E"/>
    <w:rsid w:val="00165404"/>
    <w:rsid w:val="00170002"/>
    <w:rsid w:val="00186EA9"/>
    <w:rsid w:val="00190C88"/>
    <w:rsid w:val="00197D49"/>
    <w:rsid w:val="001B426D"/>
    <w:rsid w:val="001B7FF5"/>
    <w:rsid w:val="001C119A"/>
    <w:rsid w:val="001C2DFA"/>
    <w:rsid w:val="001C7897"/>
    <w:rsid w:val="001D3254"/>
    <w:rsid w:val="001D72D7"/>
    <w:rsid w:val="001E06BE"/>
    <w:rsid w:val="001E6C58"/>
    <w:rsid w:val="001F04B3"/>
    <w:rsid w:val="001F0EF0"/>
    <w:rsid w:val="001F3D5E"/>
    <w:rsid w:val="001F4E1D"/>
    <w:rsid w:val="001F5A6A"/>
    <w:rsid w:val="00200972"/>
    <w:rsid w:val="00210B98"/>
    <w:rsid w:val="002211BA"/>
    <w:rsid w:val="002310A1"/>
    <w:rsid w:val="002351CC"/>
    <w:rsid w:val="00236A0B"/>
    <w:rsid w:val="00257657"/>
    <w:rsid w:val="002576A1"/>
    <w:rsid w:val="00263D19"/>
    <w:rsid w:val="00264107"/>
    <w:rsid w:val="00276838"/>
    <w:rsid w:val="0028635A"/>
    <w:rsid w:val="002921C7"/>
    <w:rsid w:val="002931AD"/>
    <w:rsid w:val="00294F54"/>
    <w:rsid w:val="002A20D7"/>
    <w:rsid w:val="002A2479"/>
    <w:rsid w:val="002A4466"/>
    <w:rsid w:val="002C4DCF"/>
    <w:rsid w:val="002C6013"/>
    <w:rsid w:val="002E02A9"/>
    <w:rsid w:val="002E1C57"/>
    <w:rsid w:val="00311CF5"/>
    <w:rsid w:val="00312909"/>
    <w:rsid w:val="003144C2"/>
    <w:rsid w:val="00314EDA"/>
    <w:rsid w:val="00315124"/>
    <w:rsid w:val="00316B37"/>
    <w:rsid w:val="00317E77"/>
    <w:rsid w:val="003206A5"/>
    <w:rsid w:val="00326DE5"/>
    <w:rsid w:val="00327A53"/>
    <w:rsid w:val="003340E8"/>
    <w:rsid w:val="003379A0"/>
    <w:rsid w:val="00360F9C"/>
    <w:rsid w:val="0036549A"/>
    <w:rsid w:val="00367326"/>
    <w:rsid w:val="003754B6"/>
    <w:rsid w:val="003764E2"/>
    <w:rsid w:val="003902C6"/>
    <w:rsid w:val="00391B24"/>
    <w:rsid w:val="00393369"/>
    <w:rsid w:val="003A1961"/>
    <w:rsid w:val="003A660F"/>
    <w:rsid w:val="003B7BA3"/>
    <w:rsid w:val="003C053B"/>
    <w:rsid w:val="003C3D5B"/>
    <w:rsid w:val="003C7658"/>
    <w:rsid w:val="003C789F"/>
    <w:rsid w:val="003D160A"/>
    <w:rsid w:val="003E7798"/>
    <w:rsid w:val="003F75E1"/>
    <w:rsid w:val="00423FB5"/>
    <w:rsid w:val="00426DAD"/>
    <w:rsid w:val="00430D22"/>
    <w:rsid w:val="004448F5"/>
    <w:rsid w:val="0044558B"/>
    <w:rsid w:val="00451D67"/>
    <w:rsid w:val="00456674"/>
    <w:rsid w:val="00464C06"/>
    <w:rsid w:val="00465B89"/>
    <w:rsid w:val="00473B0B"/>
    <w:rsid w:val="0047756E"/>
    <w:rsid w:val="00491866"/>
    <w:rsid w:val="0049707C"/>
    <w:rsid w:val="004A5E6D"/>
    <w:rsid w:val="004A75BC"/>
    <w:rsid w:val="004B243B"/>
    <w:rsid w:val="004B691A"/>
    <w:rsid w:val="004C6BD7"/>
    <w:rsid w:val="004C6C1B"/>
    <w:rsid w:val="004E1990"/>
    <w:rsid w:val="004E646C"/>
    <w:rsid w:val="004F0017"/>
    <w:rsid w:val="00500113"/>
    <w:rsid w:val="005013F0"/>
    <w:rsid w:val="00515AAD"/>
    <w:rsid w:val="00521DA0"/>
    <w:rsid w:val="005237A8"/>
    <w:rsid w:val="00530139"/>
    <w:rsid w:val="00531EC6"/>
    <w:rsid w:val="0053417F"/>
    <w:rsid w:val="0055376B"/>
    <w:rsid w:val="005560C1"/>
    <w:rsid w:val="0056144E"/>
    <w:rsid w:val="0058511B"/>
    <w:rsid w:val="005A2061"/>
    <w:rsid w:val="005B126B"/>
    <w:rsid w:val="005C61B3"/>
    <w:rsid w:val="005D71C1"/>
    <w:rsid w:val="005E5DD6"/>
    <w:rsid w:val="005F6FE5"/>
    <w:rsid w:val="00605ACB"/>
    <w:rsid w:val="006065AC"/>
    <w:rsid w:val="00614BF7"/>
    <w:rsid w:val="00621932"/>
    <w:rsid w:val="006227F6"/>
    <w:rsid w:val="00640EF2"/>
    <w:rsid w:val="0064186C"/>
    <w:rsid w:val="00641CE1"/>
    <w:rsid w:val="0064547F"/>
    <w:rsid w:val="00654716"/>
    <w:rsid w:val="00654B8A"/>
    <w:rsid w:val="00655608"/>
    <w:rsid w:val="006562A5"/>
    <w:rsid w:val="00671EDA"/>
    <w:rsid w:val="00677C3F"/>
    <w:rsid w:val="00680341"/>
    <w:rsid w:val="00690348"/>
    <w:rsid w:val="00690862"/>
    <w:rsid w:val="006948E5"/>
    <w:rsid w:val="006A0BEC"/>
    <w:rsid w:val="006B2CB5"/>
    <w:rsid w:val="006C10C2"/>
    <w:rsid w:val="006C3880"/>
    <w:rsid w:val="006D0919"/>
    <w:rsid w:val="006D7475"/>
    <w:rsid w:val="006E5E3C"/>
    <w:rsid w:val="006F5296"/>
    <w:rsid w:val="006F54E6"/>
    <w:rsid w:val="007024CF"/>
    <w:rsid w:val="007055C3"/>
    <w:rsid w:val="00705B43"/>
    <w:rsid w:val="00717E06"/>
    <w:rsid w:val="00721401"/>
    <w:rsid w:val="00725F38"/>
    <w:rsid w:val="00733AD5"/>
    <w:rsid w:val="0073498C"/>
    <w:rsid w:val="007450FC"/>
    <w:rsid w:val="00752A46"/>
    <w:rsid w:val="007560BB"/>
    <w:rsid w:val="007735CC"/>
    <w:rsid w:val="00776B14"/>
    <w:rsid w:val="00780050"/>
    <w:rsid w:val="00783875"/>
    <w:rsid w:val="00793542"/>
    <w:rsid w:val="007935D8"/>
    <w:rsid w:val="007A36FD"/>
    <w:rsid w:val="007A60F4"/>
    <w:rsid w:val="007B5104"/>
    <w:rsid w:val="007B5F76"/>
    <w:rsid w:val="007C0D6F"/>
    <w:rsid w:val="007D2756"/>
    <w:rsid w:val="007D2E87"/>
    <w:rsid w:val="007D7639"/>
    <w:rsid w:val="007E053D"/>
    <w:rsid w:val="007E0E39"/>
    <w:rsid w:val="007F3C24"/>
    <w:rsid w:val="0080742F"/>
    <w:rsid w:val="00810ACC"/>
    <w:rsid w:val="00815F82"/>
    <w:rsid w:val="00817AD5"/>
    <w:rsid w:val="0082227A"/>
    <w:rsid w:val="00822DFF"/>
    <w:rsid w:val="00832BEC"/>
    <w:rsid w:val="0083506C"/>
    <w:rsid w:val="00836CFB"/>
    <w:rsid w:val="0084180F"/>
    <w:rsid w:val="00851A0E"/>
    <w:rsid w:val="00851CE9"/>
    <w:rsid w:val="00856061"/>
    <w:rsid w:val="008611C5"/>
    <w:rsid w:val="00865BF0"/>
    <w:rsid w:val="00865EF9"/>
    <w:rsid w:val="0086685F"/>
    <w:rsid w:val="008738EF"/>
    <w:rsid w:val="008746F6"/>
    <w:rsid w:val="008875F5"/>
    <w:rsid w:val="008875FE"/>
    <w:rsid w:val="00893356"/>
    <w:rsid w:val="00893CFC"/>
    <w:rsid w:val="008975D5"/>
    <w:rsid w:val="008A2C54"/>
    <w:rsid w:val="008B20D3"/>
    <w:rsid w:val="008C69FE"/>
    <w:rsid w:val="008E6AAF"/>
    <w:rsid w:val="008E7A72"/>
    <w:rsid w:val="008F3B95"/>
    <w:rsid w:val="008F684C"/>
    <w:rsid w:val="00912BBF"/>
    <w:rsid w:val="00914ACF"/>
    <w:rsid w:val="009261B9"/>
    <w:rsid w:val="009335F7"/>
    <w:rsid w:val="00936F19"/>
    <w:rsid w:val="00937AB6"/>
    <w:rsid w:val="00941920"/>
    <w:rsid w:val="00951B01"/>
    <w:rsid w:val="009620A9"/>
    <w:rsid w:val="0096501A"/>
    <w:rsid w:val="00966A27"/>
    <w:rsid w:val="00970057"/>
    <w:rsid w:val="0097171C"/>
    <w:rsid w:val="00971F86"/>
    <w:rsid w:val="00973EB8"/>
    <w:rsid w:val="009746DD"/>
    <w:rsid w:val="0097531C"/>
    <w:rsid w:val="00975B36"/>
    <w:rsid w:val="009817DB"/>
    <w:rsid w:val="009838A4"/>
    <w:rsid w:val="009847D4"/>
    <w:rsid w:val="00985BD8"/>
    <w:rsid w:val="00990B02"/>
    <w:rsid w:val="0099273C"/>
    <w:rsid w:val="009A40A8"/>
    <w:rsid w:val="009B422D"/>
    <w:rsid w:val="009C2E7C"/>
    <w:rsid w:val="009D0701"/>
    <w:rsid w:val="009D1CCC"/>
    <w:rsid w:val="009D2AD9"/>
    <w:rsid w:val="009D592E"/>
    <w:rsid w:val="009E0B2A"/>
    <w:rsid w:val="009E3242"/>
    <w:rsid w:val="009E4FCA"/>
    <w:rsid w:val="009F3A56"/>
    <w:rsid w:val="009F5CFE"/>
    <w:rsid w:val="009F7AB7"/>
    <w:rsid w:val="00A069F3"/>
    <w:rsid w:val="00A1306D"/>
    <w:rsid w:val="00A16AE0"/>
    <w:rsid w:val="00A22E31"/>
    <w:rsid w:val="00A247EA"/>
    <w:rsid w:val="00A26652"/>
    <w:rsid w:val="00A269A3"/>
    <w:rsid w:val="00A30EEE"/>
    <w:rsid w:val="00A31FD8"/>
    <w:rsid w:val="00A4205E"/>
    <w:rsid w:val="00A45117"/>
    <w:rsid w:val="00A5387E"/>
    <w:rsid w:val="00A56EAE"/>
    <w:rsid w:val="00A602D8"/>
    <w:rsid w:val="00A61950"/>
    <w:rsid w:val="00A706F6"/>
    <w:rsid w:val="00A718FC"/>
    <w:rsid w:val="00A80567"/>
    <w:rsid w:val="00A821B0"/>
    <w:rsid w:val="00A823BC"/>
    <w:rsid w:val="00A9048D"/>
    <w:rsid w:val="00A90A44"/>
    <w:rsid w:val="00A9419C"/>
    <w:rsid w:val="00A9478A"/>
    <w:rsid w:val="00A96C66"/>
    <w:rsid w:val="00AB0A1F"/>
    <w:rsid w:val="00AB181C"/>
    <w:rsid w:val="00AD0ECC"/>
    <w:rsid w:val="00AE5267"/>
    <w:rsid w:val="00AE5AE6"/>
    <w:rsid w:val="00AF099E"/>
    <w:rsid w:val="00AF184D"/>
    <w:rsid w:val="00AF3C0D"/>
    <w:rsid w:val="00B0158B"/>
    <w:rsid w:val="00B15EC4"/>
    <w:rsid w:val="00B315AF"/>
    <w:rsid w:val="00B37D8B"/>
    <w:rsid w:val="00B40AE7"/>
    <w:rsid w:val="00B4208C"/>
    <w:rsid w:val="00B43819"/>
    <w:rsid w:val="00B4500F"/>
    <w:rsid w:val="00B51E55"/>
    <w:rsid w:val="00B63188"/>
    <w:rsid w:val="00B6382A"/>
    <w:rsid w:val="00B65192"/>
    <w:rsid w:val="00B71239"/>
    <w:rsid w:val="00B832FB"/>
    <w:rsid w:val="00B84737"/>
    <w:rsid w:val="00B874C5"/>
    <w:rsid w:val="00B96295"/>
    <w:rsid w:val="00BA05AD"/>
    <w:rsid w:val="00BA1E90"/>
    <w:rsid w:val="00BC021F"/>
    <w:rsid w:val="00BC5DF5"/>
    <w:rsid w:val="00BC7E55"/>
    <w:rsid w:val="00BD0720"/>
    <w:rsid w:val="00BD2A4C"/>
    <w:rsid w:val="00BD6AE7"/>
    <w:rsid w:val="00BE1880"/>
    <w:rsid w:val="00BE2D69"/>
    <w:rsid w:val="00BE5F97"/>
    <w:rsid w:val="00BF1B66"/>
    <w:rsid w:val="00C012E1"/>
    <w:rsid w:val="00C02BDC"/>
    <w:rsid w:val="00C06774"/>
    <w:rsid w:val="00C11E68"/>
    <w:rsid w:val="00C228E1"/>
    <w:rsid w:val="00C275BA"/>
    <w:rsid w:val="00C3205B"/>
    <w:rsid w:val="00C454AE"/>
    <w:rsid w:val="00C47EA2"/>
    <w:rsid w:val="00C51405"/>
    <w:rsid w:val="00C528EE"/>
    <w:rsid w:val="00C53A78"/>
    <w:rsid w:val="00C54066"/>
    <w:rsid w:val="00C64343"/>
    <w:rsid w:val="00C65315"/>
    <w:rsid w:val="00C670AB"/>
    <w:rsid w:val="00C838F1"/>
    <w:rsid w:val="00C95998"/>
    <w:rsid w:val="00CA31E4"/>
    <w:rsid w:val="00CA5841"/>
    <w:rsid w:val="00CA5F08"/>
    <w:rsid w:val="00CC4AE0"/>
    <w:rsid w:val="00CE203A"/>
    <w:rsid w:val="00D1178A"/>
    <w:rsid w:val="00D20CB3"/>
    <w:rsid w:val="00D22684"/>
    <w:rsid w:val="00D226CA"/>
    <w:rsid w:val="00D2646F"/>
    <w:rsid w:val="00D26F6D"/>
    <w:rsid w:val="00D27FD4"/>
    <w:rsid w:val="00D307C6"/>
    <w:rsid w:val="00D3098E"/>
    <w:rsid w:val="00D35134"/>
    <w:rsid w:val="00D42B45"/>
    <w:rsid w:val="00D47285"/>
    <w:rsid w:val="00D57871"/>
    <w:rsid w:val="00D744B9"/>
    <w:rsid w:val="00D913DC"/>
    <w:rsid w:val="00D94379"/>
    <w:rsid w:val="00DA1DFE"/>
    <w:rsid w:val="00DA5A6E"/>
    <w:rsid w:val="00DB5A4A"/>
    <w:rsid w:val="00DD01A0"/>
    <w:rsid w:val="00DD325D"/>
    <w:rsid w:val="00DD4BC4"/>
    <w:rsid w:val="00DD4D39"/>
    <w:rsid w:val="00DE2FCA"/>
    <w:rsid w:val="00DF6E59"/>
    <w:rsid w:val="00E0242E"/>
    <w:rsid w:val="00E25807"/>
    <w:rsid w:val="00E27BE1"/>
    <w:rsid w:val="00E372B4"/>
    <w:rsid w:val="00E413FF"/>
    <w:rsid w:val="00E43F5A"/>
    <w:rsid w:val="00E52BBB"/>
    <w:rsid w:val="00E53DBA"/>
    <w:rsid w:val="00E55FBC"/>
    <w:rsid w:val="00E5682F"/>
    <w:rsid w:val="00E61AD2"/>
    <w:rsid w:val="00E627A5"/>
    <w:rsid w:val="00E637D5"/>
    <w:rsid w:val="00E63F0B"/>
    <w:rsid w:val="00E642A0"/>
    <w:rsid w:val="00E647AF"/>
    <w:rsid w:val="00E66170"/>
    <w:rsid w:val="00E710DA"/>
    <w:rsid w:val="00E75DB3"/>
    <w:rsid w:val="00E813A5"/>
    <w:rsid w:val="00E828B5"/>
    <w:rsid w:val="00E85A44"/>
    <w:rsid w:val="00E907C5"/>
    <w:rsid w:val="00E909DE"/>
    <w:rsid w:val="00E91E14"/>
    <w:rsid w:val="00EA4704"/>
    <w:rsid w:val="00EA7262"/>
    <w:rsid w:val="00EC10C2"/>
    <w:rsid w:val="00EC2D47"/>
    <w:rsid w:val="00ED069D"/>
    <w:rsid w:val="00ED335C"/>
    <w:rsid w:val="00EE1E0D"/>
    <w:rsid w:val="00EE26CF"/>
    <w:rsid w:val="00EE5DD7"/>
    <w:rsid w:val="00F10ED8"/>
    <w:rsid w:val="00F16B56"/>
    <w:rsid w:val="00F250B0"/>
    <w:rsid w:val="00F329D7"/>
    <w:rsid w:val="00F405E9"/>
    <w:rsid w:val="00F4166C"/>
    <w:rsid w:val="00F416DE"/>
    <w:rsid w:val="00F41C39"/>
    <w:rsid w:val="00F460C0"/>
    <w:rsid w:val="00F6268F"/>
    <w:rsid w:val="00F679BF"/>
    <w:rsid w:val="00F75963"/>
    <w:rsid w:val="00F8271D"/>
    <w:rsid w:val="00F8392D"/>
    <w:rsid w:val="00F95DB8"/>
    <w:rsid w:val="00F96052"/>
    <w:rsid w:val="00FA00A7"/>
    <w:rsid w:val="00FB7108"/>
    <w:rsid w:val="00FC0BAA"/>
    <w:rsid w:val="00FC1945"/>
    <w:rsid w:val="00FC1F29"/>
    <w:rsid w:val="00FC3F5A"/>
    <w:rsid w:val="00FC6BFA"/>
    <w:rsid w:val="00FC6F78"/>
    <w:rsid w:val="00FD6314"/>
    <w:rsid w:val="00FD6F69"/>
    <w:rsid w:val="00FD7B29"/>
    <w:rsid w:val="00FE523D"/>
    <w:rsid w:val="00FE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4C"/>
    <w:rPr>
      <w:sz w:val="24"/>
      <w:szCs w:val="24"/>
    </w:rPr>
  </w:style>
  <w:style w:type="paragraph" w:styleId="Heading1">
    <w:name w:val="heading 1"/>
    <w:basedOn w:val="Normal"/>
    <w:next w:val="Normal"/>
    <w:qFormat/>
    <w:rsid w:val="00D744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744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List1">
    <w:name w:val="Table List 1"/>
    <w:basedOn w:val="TableNormal"/>
    <w:rsid w:val="00817AD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2310A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17E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4C"/>
    <w:rPr>
      <w:sz w:val="24"/>
      <w:szCs w:val="24"/>
    </w:rPr>
  </w:style>
  <w:style w:type="paragraph" w:styleId="Heading1">
    <w:name w:val="heading 1"/>
    <w:basedOn w:val="Normal"/>
    <w:next w:val="Normal"/>
    <w:qFormat/>
    <w:rsid w:val="00D744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744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List1">
    <w:name w:val="Table List 1"/>
    <w:basedOn w:val="TableNormal"/>
    <w:rsid w:val="00817AD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2310A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17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automation.com/about-us/legal-notices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IDAutomation.com, Inc.</Company>
  <LinksUpToDate>false</LinksUpToDate>
  <CharactersWithSpaces>2261</CharactersWithSpaces>
  <SharedDoc>false</SharedDoc>
  <HLinks>
    <vt:vector size="6" baseType="variant">
      <vt:variant>
        <vt:i4>7209078</vt:i4>
      </vt:variant>
      <vt:variant>
        <vt:i4>0</vt:i4>
      </vt:variant>
      <vt:variant>
        <vt:i4>0</vt:i4>
      </vt:variant>
      <vt:variant>
        <vt:i4>5</vt:i4>
      </vt:variant>
      <vt:variant>
        <vt:lpwstr>http://www.idautomation.com/about-us/legal-notices.html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IDAutomation.com</cp:lastModifiedBy>
  <cp:revision>2</cp:revision>
  <cp:lastPrinted>2006-08-10T18:53:00Z</cp:lastPrinted>
  <dcterms:created xsi:type="dcterms:W3CDTF">2015-02-05T16:49:00Z</dcterms:created>
  <dcterms:modified xsi:type="dcterms:W3CDTF">2015-02-05T16:49:00Z</dcterms:modified>
</cp:coreProperties>
</file>